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1"/>
        <w:tblW w:w="0" w:type="auto"/>
        <w:tblBorders>
          <w:top w:val="none" w:sz="0" w:space="0" w:color="auto"/>
          <w:left w:val="none" w:sz="0" w:space="0" w:color="auto"/>
          <w:bottom w:val="single" w:sz="48" w:space="0" w:color="00B050"/>
          <w:right w:val="single" w:sz="48" w:space="0" w:color="00B050"/>
          <w:insideH w:val="none" w:sz="0" w:space="0" w:color="auto"/>
          <w:insideV w:val="none" w:sz="0" w:space="0" w:color="auto"/>
        </w:tblBorders>
        <w:tblLook w:val="04A0" w:firstRow="1" w:lastRow="0" w:firstColumn="1" w:lastColumn="0" w:noHBand="0" w:noVBand="1"/>
      </w:tblPr>
      <w:tblGrid>
        <w:gridCol w:w="7070"/>
        <w:gridCol w:w="1896"/>
      </w:tblGrid>
      <w:tr w:rsidR="00FA19F6" w:rsidRPr="00FA19F6" w:rsidTr="0062408F">
        <w:trPr>
          <w:trHeight w:val="1008"/>
        </w:trPr>
        <w:tc>
          <w:tcPr>
            <w:tcW w:w="8208" w:type="dxa"/>
            <w:shd w:val="clear" w:color="auto" w:fill="auto"/>
          </w:tcPr>
          <w:p w:rsidR="00FA19F6" w:rsidRPr="00A54484" w:rsidRDefault="00FA19F6" w:rsidP="0062408F">
            <w:pPr>
              <w:rPr>
                <w:rFonts w:cs="Arial"/>
                <w:b/>
                <w:color w:val="00B050"/>
                <w:sz w:val="36"/>
                <w:szCs w:val="36"/>
                <w:lang w:val="en-US"/>
              </w:rPr>
            </w:pPr>
            <w:bookmarkStart w:id="0" w:name="_Toc535877160"/>
            <w:r w:rsidRPr="00A54484">
              <w:rPr>
                <w:rFonts w:cs="Arial"/>
                <w:noProof/>
                <w:sz w:val="36"/>
                <w:szCs w:val="36"/>
                <w:lang w:eastAsia="en-GB"/>
              </w:rPr>
              <w:drawing>
                <wp:anchor distT="0" distB="0" distL="114300" distR="114300" simplePos="0" relativeHeight="251659264" behindDoc="0" locked="0" layoutInCell="1" allowOverlap="1" wp14:anchorId="3E6AC209" wp14:editId="20A29EB9">
                  <wp:simplePos x="0" y="0"/>
                  <wp:positionH relativeFrom="column">
                    <wp:posOffset>3628390</wp:posOffset>
                  </wp:positionH>
                  <wp:positionV relativeFrom="paragraph">
                    <wp:posOffset>47625</wp:posOffset>
                  </wp:positionV>
                  <wp:extent cx="681355" cy="445770"/>
                  <wp:effectExtent l="0" t="0" r="4444"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681355" cy="445770"/>
                          </a:xfrm>
                          <a:prstGeom prst="rect">
                            <a:avLst/>
                          </a:prstGeom>
                          <a:noFill/>
                          <a:ln>
                            <a:noFill/>
                            <a:prstDash/>
                          </a:ln>
                        </pic:spPr>
                      </pic:pic>
                    </a:graphicData>
                  </a:graphic>
                </wp:anchor>
              </w:drawing>
            </w:r>
            <w:r w:rsidRPr="00A54484">
              <w:rPr>
                <w:rFonts w:cs="Arial"/>
                <w:b/>
                <w:color w:val="00B050"/>
                <w:sz w:val="36"/>
                <w:szCs w:val="36"/>
                <w:lang w:val="en-US"/>
              </w:rPr>
              <w:t xml:space="preserve">St Philip’s Marsh Nursery School/Cashmore Early Years Centre/Barton Hill Children’s Centre </w:t>
            </w:r>
          </w:p>
        </w:tc>
        <w:tc>
          <w:tcPr>
            <w:tcW w:w="1034" w:type="dxa"/>
            <w:shd w:val="clear" w:color="auto" w:fill="auto"/>
          </w:tcPr>
          <w:p w:rsidR="00FA19F6" w:rsidRPr="00FA19F6" w:rsidRDefault="00FA19F6" w:rsidP="0062408F">
            <w:pPr>
              <w:rPr>
                <w:rFonts w:cs="Arial"/>
                <w:lang w:val="en-US"/>
              </w:rPr>
            </w:pPr>
            <w:r w:rsidRPr="00FA19F6">
              <w:rPr>
                <w:rFonts w:cs="Arial"/>
                <w:b/>
                <w:bCs/>
                <w:noProof/>
                <w:lang w:eastAsia="en-GB"/>
              </w:rPr>
              <w:drawing>
                <wp:anchor distT="0" distB="0" distL="114300" distR="114300" simplePos="0" relativeHeight="251660288" behindDoc="0" locked="0" layoutInCell="1" allowOverlap="1" wp14:anchorId="19AFF5AD" wp14:editId="0E70B8DB">
                  <wp:simplePos x="0" y="0"/>
                  <wp:positionH relativeFrom="column">
                    <wp:posOffset>-64770</wp:posOffset>
                  </wp:positionH>
                  <wp:positionV relativeFrom="paragraph">
                    <wp:posOffset>118745</wp:posOffset>
                  </wp:positionV>
                  <wp:extent cx="1062990" cy="440690"/>
                  <wp:effectExtent l="0" t="0" r="3810" b="0"/>
                  <wp:wrapSquare wrapText="bothSides"/>
                  <wp:docPr id="3" name="Picture 3" descr="Z:\Work\2018-2019\Cashmor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ork\2018-2019\Cashmore\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2990" cy="4406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FA19F6" w:rsidRPr="00FA19F6" w:rsidRDefault="00FA19F6" w:rsidP="00FA19F6">
      <w:pPr>
        <w:jc w:val="center"/>
        <w:rPr>
          <w:rFonts w:cs="Arial"/>
          <w:b/>
          <w:u w:val="single"/>
        </w:rPr>
      </w:pPr>
    </w:p>
    <w:p w:rsidR="00FA19F6" w:rsidRDefault="006F2F32" w:rsidP="00FA19F6">
      <w:pPr>
        <w:jc w:val="center"/>
        <w:rPr>
          <w:rFonts w:cs="Arial"/>
          <w:b/>
          <w:sz w:val="36"/>
          <w:szCs w:val="36"/>
          <w:u w:val="single"/>
        </w:rPr>
      </w:pPr>
      <w:r>
        <w:rPr>
          <w:rFonts w:cs="Arial"/>
          <w:b/>
          <w:sz w:val="36"/>
          <w:szCs w:val="36"/>
          <w:u w:val="single"/>
        </w:rPr>
        <w:t>Behaviour</w:t>
      </w:r>
      <w:r w:rsidR="00FA19F6" w:rsidRPr="00A54484">
        <w:rPr>
          <w:rFonts w:cs="Arial"/>
          <w:b/>
          <w:sz w:val="36"/>
          <w:szCs w:val="36"/>
          <w:u w:val="single"/>
        </w:rPr>
        <w:t xml:space="preserve"> Policy</w:t>
      </w:r>
    </w:p>
    <w:p w:rsidR="00E401CE" w:rsidRPr="00F10378" w:rsidRDefault="00E401CE" w:rsidP="00F10378">
      <w:pPr>
        <w:autoSpaceDE w:val="0"/>
        <w:autoSpaceDN w:val="0"/>
        <w:adjustRightInd w:val="0"/>
        <w:spacing w:after="0" w:line="240" w:lineRule="auto"/>
        <w:rPr>
          <w:b/>
          <w:lang w:eastAsia="en-GB"/>
        </w:rPr>
      </w:pPr>
      <w:r w:rsidRPr="00F10378">
        <w:rPr>
          <w:b/>
        </w:rPr>
        <w:t>Review</w:t>
      </w:r>
    </w:p>
    <w:p w:rsidR="00E401CE" w:rsidRPr="00FA19F6" w:rsidRDefault="00E401CE" w:rsidP="00E401CE">
      <w:pPr>
        <w:spacing w:after="0" w:line="240" w:lineRule="auto"/>
        <w:rPr>
          <w:rFonts w:cs="Arial"/>
          <w:lang w:eastAsia="en-GB"/>
        </w:rPr>
      </w:pPr>
    </w:p>
    <w:tbl>
      <w:tblPr>
        <w:tblStyle w:val="TableGrid2"/>
        <w:tblW w:w="8926" w:type="dxa"/>
        <w:tblLook w:val="04A0" w:firstRow="1" w:lastRow="0" w:firstColumn="1" w:lastColumn="0" w:noHBand="0" w:noVBand="1"/>
      </w:tblPr>
      <w:tblGrid>
        <w:gridCol w:w="2547"/>
        <w:gridCol w:w="2096"/>
        <w:gridCol w:w="2058"/>
        <w:gridCol w:w="2225"/>
      </w:tblGrid>
      <w:tr w:rsidR="00E401CE" w:rsidRPr="00FA19F6" w:rsidTr="00804670">
        <w:tc>
          <w:tcPr>
            <w:tcW w:w="2547"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b/>
                <w:lang w:eastAsia="en-GB"/>
              </w:rPr>
            </w:pPr>
            <w:r w:rsidRPr="00FA19F6">
              <w:rPr>
                <w:rFonts w:cs="Arial"/>
                <w:b/>
                <w:lang w:eastAsia="en-GB"/>
              </w:rPr>
              <w:t>Review Cycle</w:t>
            </w:r>
          </w:p>
        </w:tc>
        <w:tc>
          <w:tcPr>
            <w:tcW w:w="2096"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b/>
                <w:lang w:eastAsia="en-GB"/>
              </w:rPr>
            </w:pPr>
            <w:r w:rsidRPr="00FA19F6">
              <w:rPr>
                <w:rFonts w:cs="Arial"/>
                <w:b/>
                <w:lang w:eastAsia="en-GB"/>
              </w:rPr>
              <w:t>Date of Current Policy</w:t>
            </w:r>
          </w:p>
        </w:tc>
        <w:tc>
          <w:tcPr>
            <w:tcW w:w="2058"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b/>
                <w:lang w:eastAsia="en-GB"/>
              </w:rPr>
            </w:pPr>
            <w:r w:rsidRPr="00FA19F6">
              <w:rPr>
                <w:rFonts w:cs="Arial"/>
                <w:b/>
                <w:lang w:eastAsia="en-GB"/>
              </w:rPr>
              <w:t xml:space="preserve">Author(s) of Current Policy </w:t>
            </w:r>
          </w:p>
        </w:tc>
        <w:tc>
          <w:tcPr>
            <w:tcW w:w="2225"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b/>
                <w:lang w:eastAsia="en-GB"/>
              </w:rPr>
            </w:pPr>
            <w:r w:rsidRPr="00FA19F6">
              <w:rPr>
                <w:rFonts w:cs="Arial"/>
                <w:b/>
                <w:lang w:eastAsia="en-GB"/>
              </w:rPr>
              <w:t>Review Date</w:t>
            </w:r>
          </w:p>
        </w:tc>
      </w:tr>
      <w:tr w:rsidR="00E401CE" w:rsidRPr="00FA19F6" w:rsidTr="00804670">
        <w:tc>
          <w:tcPr>
            <w:tcW w:w="2547"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lang w:eastAsia="en-GB"/>
              </w:rPr>
            </w:pPr>
            <w:r>
              <w:rPr>
                <w:rFonts w:cs="Arial"/>
                <w:lang w:eastAsia="en-GB"/>
              </w:rPr>
              <w:t>e</w:t>
            </w:r>
            <w:r w:rsidRPr="00FA19F6">
              <w:rPr>
                <w:rFonts w:cs="Arial"/>
                <w:lang w:eastAsia="en-GB"/>
              </w:rPr>
              <w:t>very two years</w:t>
            </w:r>
          </w:p>
        </w:tc>
        <w:tc>
          <w:tcPr>
            <w:tcW w:w="2096"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lang w:eastAsia="en-GB"/>
              </w:rPr>
            </w:pPr>
            <w:r>
              <w:rPr>
                <w:rFonts w:cs="Arial"/>
                <w:lang w:eastAsia="en-GB"/>
              </w:rPr>
              <w:t>20 October 2021</w:t>
            </w:r>
          </w:p>
        </w:tc>
        <w:tc>
          <w:tcPr>
            <w:tcW w:w="2058"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lang w:eastAsia="en-GB"/>
              </w:rPr>
            </w:pPr>
            <w:r>
              <w:rPr>
                <w:rFonts w:cs="Arial"/>
                <w:lang w:eastAsia="en-GB"/>
              </w:rPr>
              <w:t>Colin McFarlane</w:t>
            </w:r>
          </w:p>
        </w:tc>
        <w:tc>
          <w:tcPr>
            <w:tcW w:w="2225"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rPr>
                <w:rFonts w:cs="Arial"/>
                <w:lang w:eastAsia="en-GB"/>
              </w:rPr>
            </w:pPr>
            <w:r>
              <w:rPr>
                <w:rFonts w:cs="Arial"/>
                <w:lang w:eastAsia="en-GB"/>
              </w:rPr>
              <w:t>20 October 2023</w:t>
            </w:r>
          </w:p>
        </w:tc>
      </w:tr>
    </w:tbl>
    <w:p w:rsidR="00E401CE" w:rsidRPr="00FA19F6" w:rsidRDefault="00E401CE" w:rsidP="00E401CE">
      <w:pPr>
        <w:spacing w:after="0" w:line="240" w:lineRule="auto"/>
        <w:rPr>
          <w:rFonts w:cs="Arial"/>
          <w:lang w:eastAsia="en-GB"/>
        </w:rPr>
      </w:pPr>
    </w:p>
    <w:p w:rsidR="00E401CE" w:rsidRPr="00FA19F6" w:rsidRDefault="00E401CE" w:rsidP="00E401CE">
      <w:pPr>
        <w:autoSpaceDE w:val="0"/>
        <w:autoSpaceDN w:val="0"/>
        <w:adjustRightInd w:val="0"/>
        <w:spacing w:after="0" w:line="240" w:lineRule="auto"/>
        <w:rPr>
          <w:rFonts w:cs="Arial"/>
          <w:b/>
          <w:bCs/>
          <w:color w:val="000000"/>
        </w:rPr>
      </w:pPr>
      <w:r w:rsidRPr="00FA19F6">
        <w:rPr>
          <w:rFonts w:cs="Arial"/>
          <w:b/>
          <w:bCs/>
          <w:color w:val="000000"/>
        </w:rPr>
        <w:t>Ratification</w:t>
      </w:r>
    </w:p>
    <w:p w:rsidR="00E401CE" w:rsidRPr="00FA19F6" w:rsidRDefault="00E401CE" w:rsidP="00E401CE">
      <w:pPr>
        <w:autoSpaceDE w:val="0"/>
        <w:autoSpaceDN w:val="0"/>
        <w:adjustRightInd w:val="0"/>
        <w:spacing w:after="0" w:line="240" w:lineRule="auto"/>
        <w:rPr>
          <w:rFonts w:cs="Arial"/>
          <w:b/>
          <w:bCs/>
          <w:color w:val="000000"/>
        </w:rPr>
      </w:pPr>
    </w:p>
    <w:tbl>
      <w:tblPr>
        <w:tblStyle w:val="TableGrid2"/>
        <w:tblW w:w="0" w:type="auto"/>
        <w:tblLook w:val="04A0" w:firstRow="1" w:lastRow="0" w:firstColumn="1" w:lastColumn="0" w:noHBand="0" w:noVBand="1"/>
      </w:tblPr>
      <w:tblGrid>
        <w:gridCol w:w="2689"/>
        <w:gridCol w:w="1959"/>
        <w:gridCol w:w="2389"/>
        <w:gridCol w:w="1979"/>
      </w:tblGrid>
      <w:tr w:rsidR="00E401CE" w:rsidRPr="00FA19F6" w:rsidTr="00804670">
        <w:tc>
          <w:tcPr>
            <w:tcW w:w="268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Role</w:t>
            </w:r>
          </w:p>
        </w:tc>
        <w:tc>
          <w:tcPr>
            <w:tcW w:w="195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Name</w:t>
            </w:r>
          </w:p>
        </w:tc>
        <w:tc>
          <w:tcPr>
            <w:tcW w:w="238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Signature</w:t>
            </w:r>
          </w:p>
        </w:tc>
        <w:tc>
          <w:tcPr>
            <w:tcW w:w="197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Date</w:t>
            </w:r>
          </w:p>
        </w:tc>
      </w:tr>
      <w:tr w:rsidR="00E401CE" w:rsidRPr="00FA19F6" w:rsidTr="00804670">
        <w:tc>
          <w:tcPr>
            <w:tcW w:w="268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Chair of Governors</w:t>
            </w:r>
          </w:p>
        </w:tc>
        <w:tc>
          <w:tcPr>
            <w:tcW w:w="195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Cs/>
                <w:color w:val="000000"/>
              </w:rPr>
            </w:pPr>
            <w:r w:rsidRPr="00FA19F6">
              <w:rPr>
                <w:rFonts w:cs="Arial"/>
                <w:bCs/>
                <w:color w:val="000000"/>
              </w:rPr>
              <w:t>Enza Phillips</w:t>
            </w:r>
          </w:p>
        </w:tc>
        <w:tc>
          <w:tcPr>
            <w:tcW w:w="2389" w:type="dxa"/>
            <w:tcBorders>
              <w:top w:val="single" w:sz="4" w:space="0" w:color="auto"/>
              <w:left w:val="single" w:sz="4" w:space="0" w:color="auto"/>
              <w:bottom w:val="single" w:sz="4" w:space="0" w:color="auto"/>
              <w:right w:val="single" w:sz="4" w:space="0" w:color="auto"/>
            </w:tcBorders>
          </w:tcPr>
          <w:p w:rsidR="00E401CE" w:rsidRPr="00FA19F6" w:rsidRDefault="00E401CE" w:rsidP="00804670">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E401CE" w:rsidRPr="00FA19F6" w:rsidRDefault="00E401CE" w:rsidP="00804670">
            <w:pPr>
              <w:autoSpaceDE w:val="0"/>
              <w:autoSpaceDN w:val="0"/>
              <w:adjustRightInd w:val="0"/>
              <w:rPr>
                <w:rFonts w:cs="Arial"/>
                <w:b/>
                <w:bCs/>
                <w:color w:val="000000"/>
              </w:rPr>
            </w:pPr>
          </w:p>
        </w:tc>
      </w:tr>
      <w:tr w:rsidR="00E401CE" w:rsidRPr="00FA19F6" w:rsidTr="00804670">
        <w:tc>
          <w:tcPr>
            <w:tcW w:w="268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
                <w:bCs/>
                <w:color w:val="000000"/>
              </w:rPr>
            </w:pPr>
            <w:r w:rsidRPr="00FA19F6">
              <w:rPr>
                <w:rFonts w:cs="Arial"/>
                <w:b/>
                <w:bCs/>
                <w:color w:val="000000"/>
              </w:rPr>
              <w:t>Head Teacher</w:t>
            </w:r>
          </w:p>
        </w:tc>
        <w:tc>
          <w:tcPr>
            <w:tcW w:w="1959" w:type="dxa"/>
            <w:tcBorders>
              <w:top w:val="single" w:sz="4" w:space="0" w:color="auto"/>
              <w:left w:val="single" w:sz="4" w:space="0" w:color="auto"/>
              <w:bottom w:val="single" w:sz="4" w:space="0" w:color="auto"/>
              <w:right w:val="single" w:sz="4" w:space="0" w:color="auto"/>
            </w:tcBorders>
            <w:hideMark/>
          </w:tcPr>
          <w:p w:rsidR="00E401CE" w:rsidRPr="00FA19F6" w:rsidRDefault="00E401CE" w:rsidP="00804670">
            <w:pPr>
              <w:autoSpaceDE w:val="0"/>
              <w:autoSpaceDN w:val="0"/>
              <w:adjustRightInd w:val="0"/>
              <w:rPr>
                <w:rFonts w:cs="Arial"/>
                <w:bCs/>
                <w:color w:val="000000"/>
              </w:rPr>
            </w:pPr>
            <w:r w:rsidRPr="00FA19F6">
              <w:rPr>
                <w:rFonts w:cs="Arial"/>
                <w:bCs/>
                <w:color w:val="000000"/>
              </w:rPr>
              <w:t>Simon Holmes</w:t>
            </w:r>
          </w:p>
        </w:tc>
        <w:tc>
          <w:tcPr>
            <w:tcW w:w="2389" w:type="dxa"/>
            <w:tcBorders>
              <w:top w:val="single" w:sz="4" w:space="0" w:color="auto"/>
              <w:left w:val="single" w:sz="4" w:space="0" w:color="auto"/>
              <w:bottom w:val="single" w:sz="4" w:space="0" w:color="auto"/>
              <w:right w:val="single" w:sz="4" w:space="0" w:color="auto"/>
            </w:tcBorders>
          </w:tcPr>
          <w:p w:rsidR="00E401CE" w:rsidRPr="00FA19F6" w:rsidRDefault="00E401CE" w:rsidP="00804670">
            <w:pPr>
              <w:autoSpaceDE w:val="0"/>
              <w:autoSpaceDN w:val="0"/>
              <w:adjustRightInd w:val="0"/>
              <w:rPr>
                <w:rFonts w:cs="Arial"/>
                <w:b/>
                <w:bCs/>
                <w:color w:val="000000"/>
              </w:rPr>
            </w:pPr>
          </w:p>
        </w:tc>
        <w:tc>
          <w:tcPr>
            <w:tcW w:w="1979" w:type="dxa"/>
            <w:tcBorders>
              <w:top w:val="single" w:sz="4" w:space="0" w:color="auto"/>
              <w:left w:val="single" w:sz="4" w:space="0" w:color="auto"/>
              <w:bottom w:val="single" w:sz="4" w:space="0" w:color="auto"/>
              <w:right w:val="single" w:sz="4" w:space="0" w:color="auto"/>
            </w:tcBorders>
          </w:tcPr>
          <w:p w:rsidR="00E401CE" w:rsidRPr="00FA19F6" w:rsidRDefault="00E401CE" w:rsidP="00804670">
            <w:pPr>
              <w:autoSpaceDE w:val="0"/>
              <w:autoSpaceDN w:val="0"/>
              <w:adjustRightInd w:val="0"/>
              <w:rPr>
                <w:rFonts w:cs="Arial"/>
                <w:b/>
                <w:bCs/>
                <w:color w:val="000000"/>
              </w:rPr>
            </w:pPr>
          </w:p>
        </w:tc>
      </w:tr>
    </w:tbl>
    <w:p w:rsidR="00E401CE" w:rsidRDefault="00E401CE" w:rsidP="00E401CE">
      <w:pPr>
        <w:keepNext/>
        <w:spacing w:after="0" w:line="240" w:lineRule="auto"/>
        <w:jc w:val="center"/>
        <w:outlineLvl w:val="1"/>
        <w:rPr>
          <w:rFonts w:cs="Arial"/>
          <w:b/>
          <w:u w:val="single"/>
          <w:lang w:val="en-US"/>
        </w:rPr>
      </w:pPr>
    </w:p>
    <w:p w:rsidR="006F2F32" w:rsidRDefault="006F2F32" w:rsidP="006F2F32">
      <w:pPr>
        <w:pStyle w:val="Heading2"/>
      </w:pPr>
      <w:r>
        <w:t>Aims</w:t>
      </w:r>
    </w:p>
    <w:p w:rsidR="006F2F32" w:rsidRDefault="006F2F32" w:rsidP="006F2F32">
      <w:pPr>
        <w:ind w:left="0"/>
        <w:rPr>
          <w:lang w:bidi="en-US"/>
        </w:rPr>
      </w:pPr>
      <w:r>
        <w:rPr>
          <w:lang w:bidi="en-US"/>
        </w:rPr>
        <w:t xml:space="preserve">This policy aims to ensure that the Nursery School fulfils </w:t>
      </w:r>
      <w:r w:rsidR="002370BF">
        <w:rPr>
          <w:lang w:bidi="en-US"/>
        </w:rPr>
        <w:t>its statutory requirements</w:t>
      </w:r>
      <w:r>
        <w:rPr>
          <w:lang w:bidi="en-US"/>
        </w:rPr>
        <w:t xml:space="preserve"> and should be read in conjunction with the following documents:</w:t>
      </w:r>
    </w:p>
    <w:p w:rsidR="006F2F32" w:rsidRDefault="00216778" w:rsidP="006F2F32">
      <w:pPr>
        <w:pStyle w:val="ListParagraph"/>
        <w:numPr>
          <w:ilvl w:val="0"/>
          <w:numId w:val="13"/>
        </w:numPr>
        <w:rPr>
          <w:lang w:bidi="en-US"/>
        </w:rPr>
      </w:pPr>
      <w:r w:rsidRPr="00216778">
        <w:rPr>
          <w:lang w:bidi="en-US"/>
        </w:rPr>
        <w:t>Th</w:t>
      </w:r>
      <w:r>
        <w:rPr>
          <w:lang w:bidi="en-US"/>
        </w:rPr>
        <w:t xml:space="preserve">e Equality Act 2010 and schools: </w:t>
      </w:r>
      <w:r w:rsidRPr="00216778">
        <w:rPr>
          <w:lang w:bidi="en-US"/>
        </w:rPr>
        <w:t xml:space="preserve">Departmental advice for school leaders, school staff, governing bodies and local authorities </w:t>
      </w:r>
      <w:r>
        <w:rPr>
          <w:lang w:bidi="en-US"/>
        </w:rPr>
        <w:t>(</w:t>
      </w:r>
      <w:r w:rsidR="00E02580">
        <w:rPr>
          <w:lang w:bidi="en-US"/>
        </w:rPr>
        <w:t>May 2014</w:t>
      </w:r>
      <w:r>
        <w:rPr>
          <w:lang w:bidi="en-US"/>
        </w:rPr>
        <w:t>)</w:t>
      </w:r>
      <w:r w:rsidR="00E02580">
        <w:rPr>
          <w:lang w:bidi="en-US"/>
        </w:rPr>
        <w:t xml:space="preserve"> </w:t>
      </w:r>
      <w:hyperlink r:id="rId7" w:history="1">
        <w:r w:rsidR="006F2F32" w:rsidRPr="00916E1A">
          <w:rPr>
            <w:rStyle w:val="Hyperlink"/>
            <w:lang w:bidi="en-US"/>
          </w:rPr>
          <w:t>https://assets.publishing.service.gov.uk/government/uploads/system/uploads/attachment_data/file/315587/Equality_Act_Advice_Final.pdf</w:t>
        </w:r>
      </w:hyperlink>
    </w:p>
    <w:p w:rsidR="006F2F32" w:rsidRDefault="00216778" w:rsidP="00216778">
      <w:pPr>
        <w:pStyle w:val="ListParagraph"/>
        <w:numPr>
          <w:ilvl w:val="0"/>
          <w:numId w:val="13"/>
        </w:numPr>
        <w:rPr>
          <w:lang w:bidi="en-US"/>
        </w:rPr>
      </w:pPr>
      <w:r>
        <w:rPr>
          <w:lang w:bidi="en-US"/>
        </w:rPr>
        <w:t xml:space="preserve">Preventing and tackling bullying: </w:t>
      </w:r>
      <w:r>
        <w:t>Advice for headteachers, staff and governing bodies (July 2017)</w:t>
      </w:r>
      <w:r>
        <w:rPr>
          <w:lang w:bidi="en-US"/>
        </w:rPr>
        <w:t xml:space="preserve"> </w:t>
      </w:r>
      <w:hyperlink r:id="rId8" w:history="1">
        <w:r w:rsidRPr="00916E1A">
          <w:rPr>
            <w:rStyle w:val="Hyperlink"/>
            <w:lang w:bidi="en-US"/>
          </w:rPr>
          <w:t>https://assets.publishing.service.gov.uk/government/uploads/system/uploads/attachment_data/file/623895/Preventing_and_tackling_bullying_advice.pdf</w:t>
        </w:r>
      </w:hyperlink>
    </w:p>
    <w:p w:rsidR="00216778" w:rsidRDefault="00216778" w:rsidP="00216778">
      <w:pPr>
        <w:pStyle w:val="ListParagraph"/>
        <w:numPr>
          <w:ilvl w:val="0"/>
          <w:numId w:val="13"/>
        </w:numPr>
        <w:rPr>
          <w:lang w:bidi="en-US"/>
        </w:rPr>
      </w:pPr>
      <w:r>
        <w:t xml:space="preserve">Behaviour and discipline in schools: Advice for headteachers and school staff (January 2016) </w:t>
      </w:r>
      <w:hyperlink r:id="rId9" w:history="1">
        <w:r w:rsidRPr="00916E1A">
          <w:rPr>
            <w:rStyle w:val="Hyperlink"/>
          </w:rPr>
          <w:t>https://assets.publishing.service.gov.uk/government/uploads/system/uploads/attachment_data/file/488034/Behaviour_and_Discipline_in_Schools_-_A_guide_for_headteachers_and_School_Staff.pdf</w:t>
        </w:r>
      </w:hyperlink>
    </w:p>
    <w:p w:rsidR="002370BF" w:rsidRDefault="002370BF" w:rsidP="002370BF">
      <w:pPr>
        <w:rPr>
          <w:lang w:bidi="en-US"/>
        </w:rPr>
      </w:pPr>
      <w:r>
        <w:rPr>
          <w:lang w:bidi="en-US"/>
        </w:rPr>
        <w:t>This policy therefore aims to meet the School</w:t>
      </w:r>
      <w:r w:rsidR="007C0D5B">
        <w:rPr>
          <w:lang w:bidi="en-US"/>
        </w:rPr>
        <w:t>’</w:t>
      </w:r>
      <w:r>
        <w:rPr>
          <w:lang w:bidi="en-US"/>
        </w:rPr>
        <w:t>s legal duty to set out measures to</w:t>
      </w:r>
    </w:p>
    <w:p w:rsidR="002370BF" w:rsidRDefault="002370BF" w:rsidP="002370BF">
      <w:pPr>
        <w:pStyle w:val="ListParagraph"/>
        <w:numPr>
          <w:ilvl w:val="0"/>
          <w:numId w:val="14"/>
        </w:numPr>
        <w:rPr>
          <w:lang w:bidi="en-US"/>
        </w:rPr>
      </w:pPr>
      <w:r>
        <w:t>promote good behaviour, self-discipline and respect;</w:t>
      </w:r>
    </w:p>
    <w:p w:rsidR="002370BF" w:rsidRDefault="002370BF" w:rsidP="002370BF">
      <w:pPr>
        <w:pStyle w:val="ListParagraph"/>
        <w:numPr>
          <w:ilvl w:val="0"/>
          <w:numId w:val="14"/>
        </w:numPr>
        <w:rPr>
          <w:lang w:bidi="en-US"/>
        </w:rPr>
      </w:pPr>
      <w:r>
        <w:t>prevent bullying;</w:t>
      </w:r>
    </w:p>
    <w:p w:rsidR="002370BF" w:rsidRDefault="002370BF" w:rsidP="002370BF">
      <w:pPr>
        <w:pStyle w:val="ListParagraph"/>
        <w:numPr>
          <w:ilvl w:val="0"/>
          <w:numId w:val="14"/>
        </w:numPr>
        <w:rPr>
          <w:lang w:bidi="en-US"/>
        </w:rPr>
      </w:pPr>
      <w:r>
        <w:t>ensure that pupils complete assigned work;</w:t>
      </w:r>
    </w:p>
    <w:p w:rsidR="002370BF" w:rsidRDefault="002370BF" w:rsidP="002370BF">
      <w:pPr>
        <w:pStyle w:val="ListParagraph"/>
        <w:numPr>
          <w:ilvl w:val="0"/>
          <w:numId w:val="14"/>
        </w:numPr>
        <w:rPr>
          <w:lang w:bidi="en-US"/>
        </w:rPr>
      </w:pPr>
      <w:r>
        <w:t>regulate the conduct of pupils.</w:t>
      </w:r>
    </w:p>
    <w:p w:rsidR="00CD759B" w:rsidRDefault="00CD759B" w:rsidP="00CD759B">
      <w:pPr>
        <w:ind w:left="0"/>
        <w:rPr>
          <w:lang w:bidi="en-US"/>
        </w:rPr>
      </w:pPr>
    </w:p>
    <w:p w:rsidR="002370BF" w:rsidRPr="00CD759B" w:rsidRDefault="007C0D5B" w:rsidP="00CD759B">
      <w:pPr>
        <w:ind w:left="0"/>
        <w:rPr>
          <w:b/>
          <w:lang w:bidi="en-US"/>
        </w:rPr>
      </w:pPr>
      <w:r w:rsidRPr="00CD759B">
        <w:rPr>
          <w:b/>
          <w:lang w:bidi="en-US"/>
        </w:rPr>
        <w:t xml:space="preserve">This policy aims to support the School’s continued excellence in supporting children to </w:t>
      </w:r>
      <w:r w:rsidR="00CD759B" w:rsidRPr="00CD759B">
        <w:rPr>
          <w:b/>
          <w:lang w:bidi="en-US"/>
        </w:rPr>
        <w:t xml:space="preserve">learn </w:t>
      </w:r>
      <w:r w:rsidR="00AE6AD8">
        <w:rPr>
          <w:b/>
          <w:lang w:bidi="en-US"/>
        </w:rPr>
        <w:t xml:space="preserve">socially </w:t>
      </w:r>
      <w:r w:rsidR="00AE6AD8">
        <w:rPr>
          <w:b/>
          <w:i/>
          <w:lang w:bidi="en-US"/>
        </w:rPr>
        <w:t xml:space="preserve">and </w:t>
      </w:r>
      <w:r w:rsidR="00CD759B" w:rsidRPr="00CD759B">
        <w:rPr>
          <w:b/>
          <w:lang w:bidi="en-US"/>
        </w:rPr>
        <w:t>developmentally appropriate</w:t>
      </w:r>
      <w:r w:rsidR="00A5018F" w:rsidRPr="00CD759B">
        <w:rPr>
          <w:b/>
          <w:lang w:bidi="en-US"/>
        </w:rPr>
        <w:t xml:space="preserve"> self-regulation and</w:t>
      </w:r>
      <w:r w:rsidR="00CD759B" w:rsidRPr="00CD759B">
        <w:rPr>
          <w:b/>
          <w:lang w:bidi="en-US"/>
        </w:rPr>
        <w:t xml:space="preserve"> behaviour.</w:t>
      </w:r>
    </w:p>
    <w:p w:rsidR="006F2F32" w:rsidRPr="006F2F32" w:rsidRDefault="006F2F32" w:rsidP="006F2F32">
      <w:pPr>
        <w:pStyle w:val="Heading2"/>
      </w:pPr>
      <w:r>
        <w:lastRenderedPageBreak/>
        <w:t>Policy</w:t>
      </w:r>
    </w:p>
    <w:p w:rsidR="00CD759B" w:rsidRDefault="00CD759B" w:rsidP="00CD759B">
      <w:pPr>
        <w:pStyle w:val="ListParagraph"/>
        <w:numPr>
          <w:ilvl w:val="0"/>
          <w:numId w:val="15"/>
        </w:numPr>
        <w:rPr>
          <w:lang w:bidi="en-US"/>
        </w:rPr>
      </w:pPr>
      <w:r>
        <w:rPr>
          <w:lang w:bidi="en-US"/>
        </w:rPr>
        <w:t>Behaviour is understood as a form of communication. As such, it gives insights into a child’s wellbeing and needs. It follows that adults should</w:t>
      </w:r>
    </w:p>
    <w:p w:rsidR="00CD759B" w:rsidRDefault="00A9218B" w:rsidP="00CD759B">
      <w:pPr>
        <w:pStyle w:val="ListParagraph"/>
        <w:numPr>
          <w:ilvl w:val="1"/>
          <w:numId w:val="15"/>
        </w:numPr>
        <w:rPr>
          <w:lang w:bidi="en-US"/>
        </w:rPr>
      </w:pPr>
      <w:r>
        <w:t>t</w:t>
      </w:r>
      <w:r w:rsidR="00CD759B">
        <w:t>ake a non-judgmental, curious and emp</w:t>
      </w:r>
      <w:r>
        <w:t>athic attitude towards behaviour,</w:t>
      </w:r>
    </w:p>
    <w:p w:rsidR="00AE6AD8" w:rsidRDefault="00A9218B" w:rsidP="00CD759B">
      <w:pPr>
        <w:pStyle w:val="ListParagraph"/>
        <w:numPr>
          <w:ilvl w:val="1"/>
          <w:numId w:val="15"/>
        </w:numPr>
        <w:rPr>
          <w:lang w:bidi="en-US"/>
        </w:rPr>
      </w:pPr>
      <w:r>
        <w:t>r</w:t>
      </w:r>
      <w:r w:rsidR="00CD759B">
        <w:t>espond in a way that focuses on the feelings, emotions and needs that might drive certain behaviour, ra</w:t>
      </w:r>
      <w:r w:rsidR="00AE6AD8">
        <w:t>ther than the behaviour itself,</w:t>
      </w:r>
    </w:p>
    <w:p w:rsidR="006F2F32" w:rsidRDefault="00A9218B" w:rsidP="00CD759B">
      <w:pPr>
        <w:pStyle w:val="ListParagraph"/>
        <w:numPr>
          <w:ilvl w:val="1"/>
          <w:numId w:val="15"/>
        </w:numPr>
        <w:rPr>
          <w:lang w:bidi="en-US"/>
        </w:rPr>
      </w:pPr>
      <w:r>
        <w:t>r</w:t>
      </w:r>
      <w:r w:rsidR="00CD759B">
        <w:t>egard children with behavioural difficulties as vulnerable rather than troublesome, and so must explore this vulnerability and provide appropriate support</w:t>
      </w:r>
      <w:r w:rsidR="00AE6AD8">
        <w:t>,</w:t>
      </w:r>
    </w:p>
    <w:p w:rsidR="00A9218B" w:rsidRDefault="00AE6AD8" w:rsidP="00A9218B">
      <w:pPr>
        <w:pStyle w:val="ListParagraph"/>
        <w:numPr>
          <w:ilvl w:val="1"/>
          <w:numId w:val="15"/>
        </w:numPr>
        <w:rPr>
          <w:lang w:bidi="en-US"/>
        </w:rPr>
      </w:pPr>
      <w:r>
        <w:t>t</w:t>
      </w:r>
      <w:r w:rsidRPr="00AE6AD8">
        <w:t>each the child a socially and developmentally appr</w:t>
      </w:r>
      <w:r w:rsidR="009277B0">
        <w:t>opriate way to meet their needs (the right thing to do) alongside identifying what is “wrong”.</w:t>
      </w:r>
    </w:p>
    <w:p w:rsidR="00A9218B" w:rsidRDefault="00A9218B" w:rsidP="00A9218B">
      <w:pPr>
        <w:rPr>
          <w:lang w:bidi="en-US"/>
        </w:rPr>
      </w:pPr>
    </w:p>
    <w:p w:rsidR="00A826E1" w:rsidRDefault="00A826E1" w:rsidP="00A826E1">
      <w:pPr>
        <w:pStyle w:val="ListParagraph"/>
        <w:numPr>
          <w:ilvl w:val="0"/>
          <w:numId w:val="15"/>
        </w:numPr>
        <w:rPr>
          <w:lang w:bidi="en-US"/>
        </w:rPr>
      </w:pPr>
      <w:r>
        <w:t>Behavioural support can only be effectively delivered in the context of a trusting relationship</w:t>
      </w:r>
      <w:r w:rsidR="00072A5A">
        <w:t>. It is therefore the responsibility of all adults in the setting to develop positive trusting relationships with children by</w:t>
      </w:r>
    </w:p>
    <w:p w:rsidR="00072A5A" w:rsidRDefault="00072A5A" w:rsidP="00072A5A">
      <w:pPr>
        <w:pStyle w:val="ListParagraph"/>
        <w:numPr>
          <w:ilvl w:val="1"/>
          <w:numId w:val="15"/>
        </w:numPr>
        <w:rPr>
          <w:lang w:bidi="en-US"/>
        </w:rPr>
      </w:pPr>
      <w:r>
        <w:t>modelling socially-appropriate respectful relationships (with adults and children</w:t>
      </w:r>
      <w:bookmarkStart w:id="1" w:name="_GoBack"/>
      <w:bookmarkEnd w:id="1"/>
      <w:r>
        <w:t>) at all times</w:t>
      </w:r>
      <w:r w:rsidR="00A9218B">
        <w:t>,</w:t>
      </w:r>
    </w:p>
    <w:p w:rsidR="00072A5A" w:rsidRDefault="00072A5A" w:rsidP="00072A5A">
      <w:pPr>
        <w:pStyle w:val="ListParagraph"/>
        <w:numPr>
          <w:ilvl w:val="1"/>
          <w:numId w:val="15"/>
        </w:numPr>
        <w:rPr>
          <w:lang w:bidi="en-US"/>
        </w:rPr>
      </w:pPr>
      <w:r>
        <w:rPr>
          <w:lang w:bidi="en-US"/>
        </w:rPr>
        <w:t>maintaining high quality practice through respectful, sensitive and responsive interactions with all children</w:t>
      </w:r>
      <w:r w:rsidR="00A9218B">
        <w:rPr>
          <w:lang w:bidi="en-US"/>
        </w:rPr>
        <w:t>,</w:t>
      </w:r>
    </w:p>
    <w:p w:rsidR="00072A5A" w:rsidRDefault="00072A5A" w:rsidP="00072A5A">
      <w:pPr>
        <w:pStyle w:val="ListParagraph"/>
        <w:numPr>
          <w:ilvl w:val="1"/>
          <w:numId w:val="15"/>
        </w:numPr>
        <w:rPr>
          <w:lang w:bidi="en-US"/>
        </w:rPr>
      </w:pPr>
      <w:r>
        <w:rPr>
          <w:lang w:bidi="en-US"/>
        </w:rPr>
        <w:t>modelling trusting relationships, with adults and children</w:t>
      </w:r>
      <w:r w:rsidR="00A9218B">
        <w:rPr>
          <w:lang w:bidi="en-US"/>
        </w:rPr>
        <w:t>,</w:t>
      </w:r>
    </w:p>
    <w:p w:rsidR="00072A5A" w:rsidRDefault="00072A5A" w:rsidP="00072A5A">
      <w:pPr>
        <w:pStyle w:val="ListParagraph"/>
        <w:numPr>
          <w:ilvl w:val="1"/>
          <w:numId w:val="15"/>
        </w:numPr>
        <w:rPr>
          <w:lang w:bidi="en-US"/>
        </w:rPr>
      </w:pPr>
      <w:r>
        <w:rPr>
          <w:lang w:bidi="en-US"/>
        </w:rPr>
        <w:t xml:space="preserve">seeking timely and discrete support, advice or supervision if they feel they need </w:t>
      </w:r>
      <w:r w:rsidR="00A9218B">
        <w:rPr>
          <w:lang w:bidi="en-US"/>
        </w:rPr>
        <w:t>r</w:t>
      </w:r>
      <w:r>
        <w:rPr>
          <w:lang w:bidi="en-US"/>
        </w:rPr>
        <w:t>elationship</w:t>
      </w:r>
      <w:r w:rsidR="00A9218B">
        <w:rPr>
          <w:lang w:bidi="en-US"/>
        </w:rPr>
        <w:t xml:space="preserve"> </w:t>
      </w:r>
      <w:r>
        <w:rPr>
          <w:lang w:bidi="en-US"/>
        </w:rPr>
        <w:t>s</w:t>
      </w:r>
      <w:r w:rsidR="00A9218B">
        <w:rPr>
          <w:lang w:bidi="en-US"/>
        </w:rPr>
        <w:t>upport</w:t>
      </w:r>
      <w:r>
        <w:rPr>
          <w:lang w:bidi="en-US"/>
        </w:rPr>
        <w:t xml:space="preserve"> with any particular child</w:t>
      </w:r>
      <w:r w:rsidR="00A9218B">
        <w:rPr>
          <w:lang w:bidi="en-US"/>
        </w:rPr>
        <w:t>.</w:t>
      </w:r>
    </w:p>
    <w:p w:rsidR="00A9218B" w:rsidRDefault="00A9218B" w:rsidP="00A9218B">
      <w:pPr>
        <w:rPr>
          <w:lang w:bidi="en-US"/>
        </w:rPr>
      </w:pPr>
    </w:p>
    <w:p w:rsidR="00323BB3" w:rsidRDefault="00F3259D" w:rsidP="00072A5A">
      <w:pPr>
        <w:pStyle w:val="ListParagraph"/>
        <w:numPr>
          <w:ilvl w:val="0"/>
          <w:numId w:val="15"/>
        </w:numPr>
        <w:rPr>
          <w:lang w:bidi="en-US"/>
        </w:rPr>
      </w:pPr>
      <w:r>
        <w:t xml:space="preserve">Behavioural support cannot </w:t>
      </w:r>
      <w:r w:rsidR="00072A5A">
        <w:t xml:space="preserve">be effectively delivered </w:t>
      </w:r>
      <w:r w:rsidR="00323BB3">
        <w:t xml:space="preserve">when children are in a </w:t>
      </w:r>
      <w:r w:rsidR="00242501">
        <w:t xml:space="preserve">highly </w:t>
      </w:r>
      <w:r w:rsidR="00323BB3">
        <w:t>emotional state. All behavioural support must therefore</w:t>
      </w:r>
    </w:p>
    <w:p w:rsidR="00F3259D" w:rsidRDefault="00F3259D" w:rsidP="00F3259D">
      <w:pPr>
        <w:pStyle w:val="ListParagraph"/>
        <w:numPr>
          <w:ilvl w:val="1"/>
          <w:numId w:val="15"/>
        </w:numPr>
        <w:rPr>
          <w:lang w:bidi="en-US"/>
        </w:rPr>
      </w:pPr>
      <w:r>
        <w:t xml:space="preserve">demonstrate acceptance and a positive view of the </w:t>
      </w:r>
      <w:r w:rsidRPr="00F3259D">
        <w:t>child</w:t>
      </w:r>
      <w:r>
        <w:t>, while sensitively stopping any hurtful or damaging behaviour, or taking control of a disputed resource</w:t>
      </w:r>
      <w:r w:rsidR="00A9218B">
        <w:t>,</w:t>
      </w:r>
    </w:p>
    <w:p w:rsidR="00323BB3" w:rsidRDefault="00F3259D" w:rsidP="00323BB3">
      <w:pPr>
        <w:pStyle w:val="ListParagraph"/>
        <w:numPr>
          <w:ilvl w:val="1"/>
          <w:numId w:val="15"/>
        </w:numPr>
        <w:rPr>
          <w:lang w:bidi="en-US"/>
        </w:rPr>
      </w:pPr>
      <w:r>
        <w:t>acknowledge</w:t>
      </w:r>
      <w:r w:rsidR="00323BB3">
        <w:t xml:space="preserve"> </w:t>
      </w:r>
      <w:r>
        <w:t>the</w:t>
      </w:r>
      <w:r w:rsidR="00323BB3">
        <w:t xml:space="preserve"> child’s emotional state</w:t>
      </w:r>
      <w:r w:rsidR="00A9218B">
        <w:t>,</w:t>
      </w:r>
    </w:p>
    <w:p w:rsidR="00A9218B" w:rsidRDefault="00323BB3" w:rsidP="00A9218B">
      <w:pPr>
        <w:pStyle w:val="ListParagraph"/>
        <w:numPr>
          <w:ilvl w:val="1"/>
          <w:numId w:val="15"/>
        </w:numPr>
        <w:rPr>
          <w:lang w:bidi="en-US"/>
        </w:rPr>
      </w:pPr>
      <w:r>
        <w:t>provide ap</w:t>
      </w:r>
      <w:r w:rsidR="00F3259D">
        <w:t xml:space="preserve">propriate emotional containment, and necessary support to regain a regulated emotional state, in a safe space (if the current situation is no longer a safe space then </w:t>
      </w:r>
      <w:proofErr w:type="gramStart"/>
      <w:r w:rsidR="00F3259D">
        <w:t>support</w:t>
      </w:r>
      <w:proofErr w:type="gramEnd"/>
      <w:r w:rsidR="00F3259D">
        <w:t xml:space="preserve"> the child to move to an alternative place)</w:t>
      </w:r>
      <w:r w:rsidR="00A9218B">
        <w:t>.</w:t>
      </w:r>
    </w:p>
    <w:p w:rsidR="00A9218B" w:rsidRDefault="00A9218B" w:rsidP="00A9218B">
      <w:pPr>
        <w:rPr>
          <w:lang w:bidi="en-US"/>
        </w:rPr>
      </w:pPr>
    </w:p>
    <w:p w:rsidR="00A9218B" w:rsidRDefault="00A9218B" w:rsidP="00A9218B">
      <w:pPr>
        <w:pStyle w:val="ListParagraph"/>
        <w:numPr>
          <w:ilvl w:val="0"/>
          <w:numId w:val="15"/>
        </w:numPr>
        <w:rPr>
          <w:lang w:bidi="en-US"/>
        </w:rPr>
      </w:pPr>
      <w:r>
        <w:rPr>
          <w:lang w:bidi="en-US"/>
        </w:rPr>
        <w:t xml:space="preserve">Socially or developmentally inappropriate behaviour is recognised as a learning opportunity in its own right. However, </w:t>
      </w:r>
      <w:r>
        <w:t>when a child’s behaviour interrupts their own or other’s learning then we must ensure this learning can be successfully completed once behavioural issues have been resolved.</w:t>
      </w:r>
    </w:p>
    <w:p w:rsidR="00A9218B" w:rsidRDefault="00A9218B" w:rsidP="00A9218B">
      <w:pPr>
        <w:rPr>
          <w:lang w:bidi="en-US"/>
        </w:rPr>
      </w:pPr>
    </w:p>
    <w:p w:rsidR="00C367E0" w:rsidRPr="00E401CE" w:rsidRDefault="00531CF0" w:rsidP="00E401CE">
      <w:pPr>
        <w:pStyle w:val="ListParagraph"/>
        <w:numPr>
          <w:ilvl w:val="0"/>
          <w:numId w:val="15"/>
        </w:numPr>
        <w:rPr>
          <w:lang w:bidi="en-US"/>
        </w:rPr>
      </w:pPr>
      <w:r>
        <w:t>Bullying is behaviour by an individual or group, repeated over time, that intentionally hurts another individual or group either physically or emotionally. Repeated hurtful behaviour should be identified and addressed in accordance with the School’s Anti-Bullying Policy.</w:t>
      </w:r>
      <w:r w:rsidR="00A9218B">
        <w:rPr>
          <w:lang w:bidi="en-US"/>
        </w:rPr>
        <w:t xml:space="preserve"> </w:t>
      </w:r>
    </w:p>
    <w:bookmarkEnd w:id="0"/>
    <w:sectPr w:rsidR="00C367E0" w:rsidRPr="00E401CE" w:rsidSect="00A10995">
      <w:pgSz w:w="11906" w:h="16838"/>
      <w:pgMar w:top="709"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exNew-Book">
    <w:altName w:val="Courier New"/>
    <w:charset w:val="00"/>
    <w:family w:val="auto"/>
    <w:pitch w:val="variable"/>
    <w:sig w:usb0="00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1D47"/>
    <w:multiLevelType w:val="hybridMultilevel"/>
    <w:tmpl w:val="D98A331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AB61471"/>
    <w:multiLevelType w:val="hybridMultilevel"/>
    <w:tmpl w:val="C68693A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13903059"/>
    <w:multiLevelType w:val="hybridMultilevel"/>
    <w:tmpl w:val="1E6A1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35858"/>
    <w:multiLevelType w:val="hybridMultilevel"/>
    <w:tmpl w:val="E722B902"/>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342240A0"/>
    <w:multiLevelType w:val="hybridMultilevel"/>
    <w:tmpl w:val="D3E4716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43F544C0"/>
    <w:multiLevelType w:val="hybridMultilevel"/>
    <w:tmpl w:val="9B8CB8F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4550632C"/>
    <w:multiLevelType w:val="hybridMultilevel"/>
    <w:tmpl w:val="9FD4F31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4B7454E3"/>
    <w:multiLevelType w:val="multilevel"/>
    <w:tmpl w:val="DDC0890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49784B"/>
    <w:multiLevelType w:val="hybridMultilevel"/>
    <w:tmpl w:val="6AB06DD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61CC1021"/>
    <w:multiLevelType w:val="hybridMultilevel"/>
    <w:tmpl w:val="F4200FC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0" w15:restartNumberingAfterBreak="0">
    <w:nsid w:val="63F61B23"/>
    <w:multiLevelType w:val="hybridMultilevel"/>
    <w:tmpl w:val="A82668B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1" w15:restartNumberingAfterBreak="0">
    <w:nsid w:val="6F537FE2"/>
    <w:multiLevelType w:val="hybridMultilevel"/>
    <w:tmpl w:val="A5ECBDA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6FC10EFE"/>
    <w:multiLevelType w:val="hybridMultilevel"/>
    <w:tmpl w:val="940E7B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3" w15:restartNumberingAfterBreak="0">
    <w:nsid w:val="76492799"/>
    <w:multiLevelType w:val="hybridMultilevel"/>
    <w:tmpl w:val="BC62A4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7B9C6B9C"/>
    <w:multiLevelType w:val="hybridMultilevel"/>
    <w:tmpl w:val="1B28258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7"/>
  </w:num>
  <w:num w:numId="2">
    <w:abstractNumId w:val="14"/>
  </w:num>
  <w:num w:numId="3">
    <w:abstractNumId w:val="4"/>
  </w:num>
  <w:num w:numId="4">
    <w:abstractNumId w:val="9"/>
  </w:num>
  <w:num w:numId="5">
    <w:abstractNumId w:val="0"/>
  </w:num>
  <w:num w:numId="6">
    <w:abstractNumId w:val="1"/>
  </w:num>
  <w:num w:numId="7">
    <w:abstractNumId w:val="13"/>
  </w:num>
  <w:num w:numId="8">
    <w:abstractNumId w:val="5"/>
  </w:num>
  <w:num w:numId="9">
    <w:abstractNumId w:val="12"/>
  </w:num>
  <w:num w:numId="10">
    <w:abstractNumId w:val="10"/>
  </w:num>
  <w:num w:numId="11">
    <w:abstractNumId w:val="11"/>
  </w:num>
  <w:num w:numId="12">
    <w:abstractNumId w:val="6"/>
  </w:num>
  <w:num w:numId="13">
    <w:abstractNumId w:val="2"/>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406"/>
    <w:rsid w:val="00002D60"/>
    <w:rsid w:val="00036353"/>
    <w:rsid w:val="00047EF0"/>
    <w:rsid w:val="00066E8E"/>
    <w:rsid w:val="00072A5A"/>
    <w:rsid w:val="000952F2"/>
    <w:rsid w:val="000B5406"/>
    <w:rsid w:val="000C2A1E"/>
    <w:rsid w:val="001163D9"/>
    <w:rsid w:val="00196A86"/>
    <w:rsid w:val="001F11C2"/>
    <w:rsid w:val="002000B0"/>
    <w:rsid w:val="00216778"/>
    <w:rsid w:val="00230AF2"/>
    <w:rsid w:val="002370BF"/>
    <w:rsid w:val="00242501"/>
    <w:rsid w:val="00252503"/>
    <w:rsid w:val="0026121F"/>
    <w:rsid w:val="00281F25"/>
    <w:rsid w:val="00287CAF"/>
    <w:rsid w:val="0032092A"/>
    <w:rsid w:val="00323BB3"/>
    <w:rsid w:val="00333C3C"/>
    <w:rsid w:val="004D117D"/>
    <w:rsid w:val="005103E5"/>
    <w:rsid w:val="00531CF0"/>
    <w:rsid w:val="005404DA"/>
    <w:rsid w:val="00542C5F"/>
    <w:rsid w:val="00583E91"/>
    <w:rsid w:val="005D28CC"/>
    <w:rsid w:val="00607C93"/>
    <w:rsid w:val="006941E2"/>
    <w:rsid w:val="006F2F32"/>
    <w:rsid w:val="00701E3A"/>
    <w:rsid w:val="007C0D5B"/>
    <w:rsid w:val="007D0177"/>
    <w:rsid w:val="008917FC"/>
    <w:rsid w:val="00895312"/>
    <w:rsid w:val="009277B0"/>
    <w:rsid w:val="00932D02"/>
    <w:rsid w:val="00932DD5"/>
    <w:rsid w:val="0094552B"/>
    <w:rsid w:val="009D2775"/>
    <w:rsid w:val="00A01887"/>
    <w:rsid w:val="00A10995"/>
    <w:rsid w:val="00A16B9D"/>
    <w:rsid w:val="00A217B6"/>
    <w:rsid w:val="00A5018F"/>
    <w:rsid w:val="00A54484"/>
    <w:rsid w:val="00A739B2"/>
    <w:rsid w:val="00A73C9B"/>
    <w:rsid w:val="00A826E1"/>
    <w:rsid w:val="00A9218B"/>
    <w:rsid w:val="00AE6AD8"/>
    <w:rsid w:val="00B1710F"/>
    <w:rsid w:val="00B81F3C"/>
    <w:rsid w:val="00C13BE1"/>
    <w:rsid w:val="00C367E0"/>
    <w:rsid w:val="00C36BFF"/>
    <w:rsid w:val="00CD759B"/>
    <w:rsid w:val="00CF1BBD"/>
    <w:rsid w:val="00D23D73"/>
    <w:rsid w:val="00E02580"/>
    <w:rsid w:val="00E401CE"/>
    <w:rsid w:val="00E95793"/>
    <w:rsid w:val="00EE520F"/>
    <w:rsid w:val="00F10378"/>
    <w:rsid w:val="00F3259D"/>
    <w:rsid w:val="00F55575"/>
    <w:rsid w:val="00FA1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3E2C"/>
  <w15:chartTrackingRefBased/>
  <w15:docId w15:val="{5E6615B8-1D53-401F-BC53-8CF04121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406"/>
    <w:pPr>
      <w:suppressAutoHyphens/>
      <w:ind w:left="57"/>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B54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0B5406"/>
    <w:pPr>
      <w:keepLines w:val="0"/>
      <w:tabs>
        <w:tab w:val="left" w:pos="567"/>
      </w:tabs>
      <w:spacing w:before="120" w:after="160"/>
      <w:ind w:left="0"/>
      <w:outlineLvl w:val="1"/>
    </w:pPr>
    <w:rPr>
      <w:rFonts w:ascii="Arial" w:eastAsia="Times New Roman" w:hAnsi="Arial" w:cs="ApexNew-Book"/>
      <w:color w:val="auto"/>
      <w:sz w:val="36"/>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5406"/>
    <w:rPr>
      <w:rFonts w:ascii="Arial" w:eastAsia="Times New Roman" w:hAnsi="Arial" w:cs="ApexNew-Book"/>
      <w:sz w:val="36"/>
      <w:szCs w:val="28"/>
      <w:lang w:bidi="en-US"/>
    </w:rPr>
  </w:style>
  <w:style w:type="paragraph" w:styleId="ListParagraph">
    <w:name w:val="List Paragraph"/>
    <w:basedOn w:val="Normal"/>
    <w:uiPriority w:val="34"/>
    <w:qFormat/>
    <w:rsid w:val="000B5406"/>
    <w:pPr>
      <w:ind w:left="720"/>
      <w:contextualSpacing/>
    </w:pPr>
  </w:style>
  <w:style w:type="character" w:customStyle="1" w:styleId="Heading1Char">
    <w:name w:val="Heading 1 Char"/>
    <w:basedOn w:val="DefaultParagraphFont"/>
    <w:link w:val="Heading1"/>
    <w:uiPriority w:val="9"/>
    <w:rsid w:val="000B5406"/>
    <w:rPr>
      <w:rFonts w:asciiTheme="majorHAnsi" w:eastAsiaTheme="majorEastAsia" w:hAnsiTheme="majorHAnsi" w:cstheme="majorBidi"/>
      <w:color w:val="2E74B5" w:themeColor="accent1" w:themeShade="BF"/>
      <w:sz w:val="32"/>
      <w:szCs w:val="32"/>
    </w:rPr>
  </w:style>
  <w:style w:type="table" w:customStyle="1" w:styleId="TableGrid11">
    <w:name w:val="Table Grid11"/>
    <w:basedOn w:val="TableNormal"/>
    <w:next w:val="TableGrid"/>
    <w:uiPriority w:val="59"/>
    <w:rsid w:val="00FA19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A1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2F32"/>
    <w:rPr>
      <w:color w:val="0563C1" w:themeColor="hyperlink"/>
      <w:u w:val="single"/>
    </w:rPr>
  </w:style>
  <w:style w:type="paragraph" w:styleId="BalloonText">
    <w:name w:val="Balloon Text"/>
    <w:basedOn w:val="Normal"/>
    <w:link w:val="BalloonTextChar"/>
    <w:uiPriority w:val="99"/>
    <w:semiHidden/>
    <w:unhideWhenUsed/>
    <w:rsid w:val="00E02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58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65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23895/Preventing_and_tackling_bullying_advice.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315587/Equality_Act_Advice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Margaret Blake</cp:lastModifiedBy>
  <cp:revision>19</cp:revision>
  <cp:lastPrinted>2021-09-29T14:43:00Z</cp:lastPrinted>
  <dcterms:created xsi:type="dcterms:W3CDTF">2021-09-29T09:54:00Z</dcterms:created>
  <dcterms:modified xsi:type="dcterms:W3CDTF">2021-10-13T10:17:00Z</dcterms:modified>
</cp:coreProperties>
</file>